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ejecución y aspectos positivos de esta etapa]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9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preproducción y sus soluciones]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RODAJE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del rodaje y aspectos positivos de esta etapa]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F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el rodaje y sus soluciones]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 PRODUCCIÓN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 la post producción y aspectos positivos de esta etapa]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5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post producción y sus soluciones]</w:t>
      </w:r>
    </w:p>
    <w:p w:rsidR="00000000" w:rsidDel="00000000" w:rsidP="00000000" w:rsidRDefault="00000000" w:rsidRPr="00000000" w14:paraId="00000026">
      <w:pPr>
        <w:ind w:left="720" w:firstLine="0"/>
        <w:rPr>
          <w:i w:val="1"/>
          <w:color w:val="80808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9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A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CONCURSO NACIONAL DE PROYECTOS </w:t>
    </w:r>
    <w:r w:rsidDel="00000000" w:rsidR="00000000" w:rsidRPr="00000000">
      <w:rPr>
        <w:rtl w:val="0"/>
      </w:rPr>
      <w:t xml:space="preserve">DE LARGOMETRAJE DE FICCIÓN (ESTÍMULO ALTERNATIVO) –</w:t>
    </w:r>
    <w:r w:rsidDel="00000000" w:rsidR="00000000" w:rsidRPr="00000000">
      <w:rPr>
        <w:sz w:val="24"/>
        <w:szCs w:val="24"/>
        <w:rtl w:val="0"/>
      </w:rPr>
      <w:t xml:space="preserve"> 20</w:t>
    </w:r>
    <w:r w:rsidDel="00000000" w:rsidR="00000000" w:rsidRPr="00000000">
      <w:rPr>
        <w:sz w:val="24"/>
        <w:szCs w:val="24"/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VLl2iY8J3ct6lVkD4rTuEpmqWQ==">CgMxLjAyCGguZ2pkZ3hzOAByITFLV1lnRXZ3dDJWQnFTMFVucEpNY3F3TW4wS2xZOUU1Wg==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